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2601-О/2023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Рудометова Вадима Сергеевича на нарушение его конституционных прав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В.С.Рудометова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суда, проверенным судами вышестоящих инстанций, гражданину В.С.Рудометову возвращена поданная им в порядке статьи 125 УПК Российской Федерации жалоба на действия и бездействие сотрудников органов внутренних дел и прокуратуры по вопросу о прерывании проводимого им одиночного пикета. Другим вступившим в законную силу судебным решением заявителю отказано в принятии к рассмотрению поданной в аналогичном порядке жалобы, поскольку она касалась действий сотрудников полиции по его административному задержанию и привлечению к административной ответственности. 2 В.С.Рудометов утверждает, что статья 125 «Судебный порядок рассмотрения жалоб» УПК Российской Федерации, как не обеспечивающая реализацию права граждан на судебную защиту, нарушает его права, гарантированные статьями 21, 31, 46 и 52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Рудометова Вадима Сергеевича,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