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«Сфера Альянс» на нарушение его конституционных прав абзацем первым части первой статьи 376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«Сфера Альянс»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«Сфера Альянс» (далее также – ООО «Сфера Альянс») оспаривает конституционность абзаца первого части первой статьи 376 «Право на обращение в кассационный суд общей юрисдикции» ГПК Российской Федерации. Как следует из представленных материалов, определением кассационного суда общей юрисдикции оставлена без рассмотрения кассационная жалоба ООО «Сфера Альянс» на апелляционное определение, которым, среди прочего, были признаны недействительными результаты межевания и истребована часть земельного участка из незаконного владения физического лица. При этом 2 кассационный суд общей юрисдикции исходил из того, что ООО «Сфера Альянс» к участию в деле не привлекалось, а права и законные интересы общества, как арендатора спорного земельного участка, обжалуемым судебным постановлением не затрагиваются.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ООО «Сфера Альянс», оспариваемое законоположение противоречит Конституции Российской Федерации, ее статьям 19 (части 1 и 2) и 46 (часть 1), поскольку не предусматривает возможность лица, не привлеченного к участию в деле, но являющегося носителем материальных прав, являющихся производными от оспариваемого в рамках этого дела права собственности, обжаловать в кассационном порядке принятое по такому делу судебное постановление.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«Сфера Альянс»,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