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Ахмадуллина Рима Фагитовича на нарушение его конституционных прав пунктом 2 статьи 15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Р.Ф.Ахмадуллина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Р.Ф.Ахмадуллин оспаривает конституционность пункта 2 статьи 15 ГК Российской Федерации, согласно которому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2 Из представленных материалов следует, что апелляционным определением судебной коллегии по гражданским делам Верховного Суда Республики Башкортостан, с которым согласились суды вышестоящих инстанций, отказано в удовлетворении исковых требований Р.Ф.Ахмадуллина к негосударственной некоммерческой организации Адвокатская палата Республики Башкортостан о взыскании убытков за период незаконного лишения статуса адвоката. По мнению заявителя, пункт 2 статьи 15 ГК Российской Федерации не соответствует статьям 2, 15, 17–19, 34, 37 и 46 Конституции Российской Федерации в той мере, в какой содержащаяся в нем норма по смыслу, придаваемому ей правоприменительной практикой, исключает возмещение убытков в виде упущенной выгоды с учетом неполученных доходов в случае незаконного лишения статуса адвоката и его восстановления через определенное время.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Ахмадуллина Рима Фагитовича,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