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Воробьевой Юлии Анатольевны на нарушение ее конституционных прав пунктом 1 статьи 246 во взаимосвязи со статьей 168, пунктом 3 статьи 423, статьями 689 и 690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Ю.А.Воробьевой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Ю.А.Воробьева, которой отказано в удовлетворении исковых требований о признании договора недействительным, возложении обязанности освободить помещения, установлении запрета на предоставление помещения без письменного согласия, взыскании судебной неустойки, оспаривает конституционность пункта 1 статьи 246 ГК Российской Федерации, согласно которому распоряжение имуществом, находящимся в долевой собственности, осуществляется по соглашению всех ее участников, во взаимосвязи со статьей 168 «Недействительность 2 сделки, нарушающей требования закона или иного правового акта», пунктом 3 статьи 423 «Возмездный и безвозмездный договоры», статьей 689 «Договор безвозмездного пользования» и статьей 690 «Ссудодатель» того же Кодекса. По мнению заявительницы, оспариваемое положение не соответствует статьям 17 (часть 3), 19 (часть 1), 35 (части 1 и 2), 46 (часть 1) и 55 (часть 3) Конституции Российской Федерации в той мере, в какой оно во взаимосвязи с положениями статьи 168, пункта 3 статьи 423, статей 689 и 690 ГК Российской Федерации в случае единоличного распоряжения одним из долевых сособственников частью общего имущества путем заключения договора безвозмездного пользования и передачи части нежилого помещения третьему лицу – бывшему арендатору не позволяет определить правовую природу соглашения всех участников долевой собственности на нежилое помещение, порядок достижения такого соглашения, его предмет, форму и сроки действия, а также юридически значимые обстоятельства для проверки того, имелось ли соглашение всех участников общей долевой собственности в отношении распоряжения частью общего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246 ГК Российской Федерации направлен на обеспечение баланса интересов участников долевой собственности (определения Конституционного Суда Российской Федерации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Воробьевой Юлии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