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Константина Сергеевича на нарушение его конституционных прав частью первой статьи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К.С.Иванова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К.С.Иванов оспаривает конституционность части первой статьи 195 «Законность и обоснованность решения суда» ГПК Российской Федерации. Как следует из представленных материалов, определением кассационного суда общей юрисдикции были отменены судебные постановления нижестоящих судов, вынесенные по гражданскому делу в связи с иском К.С.Иванова к работодателю о восстановлении на работе, взыскании заработной платы за время вынужденного прогула и компенсации морального вреда. При новом рассмотрении дела решением суда общей юрисдикции, 2 оставленным без изменения судами вышестоящих инстанций, заявителю отказано в удовлетворении исковых требований по данному трудовому спору. По мнению К.С.Иванова, оспариваемое законоположение не соответствует статьям 45 (часть 1) и 46 (часть 1) Конституции Российской Федерации, поскольку оно позволяет суду дословно воспроизводить выводы, содержащиеся в отмененном решении этого же суда, принятом с нарушениями норм материального и процессуального права, не устанавливает обязанность исполнения указаний суда кассационной инстанции о толковании закона для суда, вновь рассматривающего дело, позволяет вышестоящему суду оставлять в силе решение суда при наличии таких нарушений.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Константина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