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Киреева Павла Александровича на нарушение его конституционных прав Законом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П.А.Киреева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П.А.Киреев оспаривает конституционность Закона Российской Федерации от 26 июня 1992 года № 3132-I «О статусе судей в Российской Федерации» в целом, а также подпункт 5 пункта 3 его статьи 3, согласно которому судья не вправе заниматься другой оплачиваемой деятельностью, кроме педагогической,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2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 Как следует из представленных материалов, вступившим в законную силу приговором суда общей юрисдикции заявитель осужден за совершение преступления, состав которого предусмотрен частью третьей статьи 264 УК Российской Федерации (нарушение Правил дорожного движения при управлении автомобилем, повлекшее по неосторожности смерть человека). По мнению заявителя, Закон Российской Федерации «О статусе судей в Российской Федерации» не соответствует статьям 23 (часть 2), 26 (часть 2), 29 (части 1, 3 и 4), 44 (часть 1), 55 (часть 2) и 120 Конституции Российской Федерации, поскольку предоставляет судье право наряду с отправлением правосудия заниматься педагогической, научной и иной творческой деятельностью.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3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Киреева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