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Смолицкого Виталия на нарушение его конституционных прав пунктом 2 статьи 12 Федерального закона «О правовом положении иностранных граждан в Российской Федерации», пунктом 1 статьи 1, подпунктами 16 и 18 статьи 2 и пунктом 10 статьи 4 Федерального закона «Об основных гарантиях избирательных прав и права на участие в референдуме граждан Российской Федерации» и частью 1 статьи 3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В.Смолицкого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В.Смолицкий оспаривает конституционность пункта 2 статьи 12 «Отношение иностранных граждан к избирательному праву» Федерального закона от 25 июля 2002 года № 115-ФЗ «О правовом положении иностранных граждан в Российской Федерации», пункта 1 статьи 1 «Пределы действия настоящего Федерального закона», подпунктов 16 и 18 статьи 2 «Основные термины и понятия» и пункта 10 статьи 4 «Всеобщее избирательное право и право на участие в референдуме» Федерального закона от 12 июня 2002 года 2 № 67-ФЗ «Об основных гарантиях избирательных прав и права на участие в референдуме граждан Российской Федерации», а также части 1 статьи 3 «Права граждан Российской Федерации на осуществление местного самоуправления» Федерального закона от 6 октября 2003 года № 131-ФЗ «Об общих принципах организации местного самоуправления в Российской Федерации».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административного искового заявления об оспаривании бездействия депутатов представительного органа муниципального образования, выразившегося в непредоставлении ответа на его обращение. Суды пришли к выводу о том, что адресованное депутатам заявление В.Смолицкого (гражданин иностранного государства), касающееся внесенных изменений в правила землепользования и застройки муниципального образования, было рассмотрено ими в пределах предоставленных полномочий с соблюдением установленного порядка и срока; заявителю были направлены письменные ответы. По мнению заявителя, оспариваемые законоположения не соответствуют статьям 32 и 62 Конституции Российской Федерации, поскольку позволяют депутатам представительного органа муниципального образования не давать мотивированные ответы на обращения иностранных граждан, проживающих на территории данного муниципального образования.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оспаривая конституционность названных законоположений, заявитель фактически выражает несогласие с принятыми судебными актами по его делу, поскольку, в частности, полагает полученные от депутатов представительного органа муниципального образования ответы на свое обращение немотивированными. Между тем проверка правоприменительных актов, как связанная с установлением и исследованием фактических 3 обстоятельств, имеющих значение для разрешения дела, в том числе в части проверки правильности оценки судами соблюдения требований по рассмотрению обращений граждан, направленных в органы публичной власти,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Смолицкого Виталия,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