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Дудаковой Любови Николаевны на нарушение ее конституционных прав абзацем вторым пункта 19 статьи 12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Л.Н.Дудаковой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Л.Н.Дудакова оспаривает конституционность абзаца второго пункта 19 статьи 12 «Порядок осуществления страхового возмещения причиненного потерпевшему вреда» Федерального закона от 25 апреля 2002 года № 40-ФЗ «Об обязательном страховании гражданской ответственности владельцев транспортных средств». Как следует из представленных материалов, в результате дорожно- транспортного происшествия транспортному средству, принадлежащему заявительнице, причинены технические повреждения. По выданному страховщиком направлению Л.Н.Дудакова передала автомобиль для 2 проведения восстановительного ремонта, который не был произведен в установленный законом срок. В связи с этим заявительница отказалась от его проведения и потребовала осуществления страхового возмещения в денежной форме, однако в удовлетворении ее претензии было отказано. Решением финансового уполномоченного со страховщика взыскана страховая выплата, ее размер определен с учетом износа комплектующих изделий, подлежащих замене. Впоследствии Л.Н.Дудакова обратилась к страховщику с иском, в котором помимо прочего просила о взыскании страхового возмещения без учета износа, обосновывая свое требование тем, что ответчик не исполнил надлежащим образом обязанность по организации ремонта транспортного средства. Апелляционным определением, с которым согласились суды вышестоящих инстанций, в его удовлетворении отказано. По мнению заявительницы, оспариваемое положение противоречит статьям 35 (часть 1) и 46 (часть 1) Конституции Российской Федерации, поскольку содержит неопределенность относительно того, вправе ли потерпевший после взыскания страховой выплаты с учетом износа подлежащих замене комплектующих изделий потребовать от страховщика в отдельном процессе доплаты страхового возмещения в размере, соответствующем разнице между стоимостью ремонта без учета указанного износа и полученной ранее суммой страховой выплаты.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Дудаковой Любови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