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3368-О/2023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Зайцевой Натальи Анатольевны на нарушение ее конституционных прав частью второй статьи 135 и частью второй статьи 191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Н.А.Зайцевой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Н.А.Зайцева оспаривает конституционность следующих положений Трудового кодекса Российской Федерации: части второй статьи 135, согласно которой системы оплаты труда, включая размеры тарифных ставок, окладов (должностных окладов), доплат и надбавок компенсационного характера, в том числе за работу в условиях, отклоняющихся от нормальных, системы доплат и надбавок стимулирующего характера и системы премирования,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2 части второй статьи 191, в соответствии с которой другие виды поощрений работников за труд определяются коллективным договором или правилами внутреннего трудового распорядка, а также уставами и положениями о дисциплине; за особые трудовые заслуги перед обществом и государством работники могут быть представлены к государственным наградам. По мнению заявительницы, оспариваемые нормы, примененные в ее деле судом, противоречат статьям 19 (части 1 и 2), 37 (часть 3), 55 (часть 3), 75 (часть 5) и 751 Конституции Российской Федерации, поскольку позволяют работодателю по своему усмотрению производить стимулирующие выплаты, установленные локальным нормативным актом, уволенным работникам.</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вторая статьи 135 Трудового кодекса Российской Федерации, предполагающая в том числе определение размера, условий и периодичности премирования в локальных нормативных актах в соответствии с трудовым законодательством и иными нормативными правовыми актами, содержащими нормы трудового права, согласуется с принципом сочетания государственного и договорного регулирования трудовых отношений (статья 2 данного Кодекса), обеспечивает возможность учета особенностей организации труда и осуществления трудовой деятельности у конкретного работодателя, что в конечном счете направлено на обеспечение баланса интересов сторон трудового договора. Часть вторая статьи 191 названного Кодекса предоставляет работодателю возможность определить виды поощрений работников за добросовестное исполнение трудовых обязанностей, направлена на обеспечение эффективного управления трудовой деятельностью с учетом интересов работников. Таким образом, оспариваемые нормы не могут расцениваться как нарушающие права работников. 3 Проверка же обоснованности отказа заявительнице в выплате премии предполагает исследование фактических обстоятельств конкретного дела, что к полномочиям Конституционного Суда Российской Федерации, как они определены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Зайцевой Натальи Анатольевны,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