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Попковой Натальи Максимовны на нарушение ее конституционных прав пунктом 2 статьи 33320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Н.М.Попковой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Н.М.Попкова оспаривает конституционность пункта 2 статьи 33320 «Особенности уплаты государственной пошлины при обращении в Верховный Суд Российской Федерации, суды общей юрисдикции, к мировым судьям» главы 253 «Государственная пошлина» Налогового кодекса Российской Федерации. Как следует из представленных материалов, определением суда общей юрисдикции, с которым согласились вышестоящие суды, Н.М.Попковой отказано в удовлетворении ходатайства об освобождении от уплаты государственной пошлины за рассмотрение встречного иска. При этом суды исходили в том числе из того, что заявительницей не представлены документы, подтверждающие наличие оснований для такого освобождения. 2 По мнению заявительницы, оспариваемое законоположение не соответствует Конституции Российской Федерации, в частности ее статьям 19 и 46, поскольку ограничивает перечень доказательств, на основании которых суд может принять решение об освобождении гражданина от уплаты государственной пошлины.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Попковой Натальи Максимовны,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