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Крутько Елены Викторовны на нарушение ее конституционных прав частью 1 статьи 31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Е.В.Крутько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Е.В.Крутько оспаривает конституционность части 1 статьи 31 Жилищного кодекса Российской Федерации, устанавливающей, что к членам семьи собственника жилого помещения относятся проживающие совместно с данным собственником в принадлежащем ему жилом помещении его супруг, а также дети и родители данного собственника; другие родственники, нетрудоспособные иждивенцы и в исключительных случаях иные граждане могут быть признаны членами семьи собственника, если они вселены собственником в качестве членов своей семьи. Как следует из представленных материалов, решением суда общей юрисдикции, оставленным без изменения определением суда апелляционной 2 инстанции, исковые требования собственника жилого помещения к Е.В.Крутько и трем ее несовершеннолетним детям о признании утратившими право пользования жилым помещением, выселении удовлетворены.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часть 1 статьи 31 Жилищного кодекса Российской Федерации противоречит Конституции Российской Федерации, ее статьям 19 (часть 1), 35 (части 1 и 2), 38 (часть 1) и 40 (часть 1), поскольку она в силу дефекта юридической техники противоречит семейному законодательству, а также позволяет суду произвольно лишать членов семьи собственника жилого помещения защиты жилищных интересов.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Крутько Елены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