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Самарской общественной организации ЛГБТ+ «Ирида» на нарушение ее конституционных прав частью первой статьи 96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Самарской общественной организации ЛГБТ+ «Ирида»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Самарская общественная организация ЛГБТ+ «Ирида», осуществляющая деятельность без образования юридического лица и признанная иностранным агентом, оспаривает конституционность части первой статьи 96 «Право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Конкретизируя статью 125 (пункт «а» части 4) Конституции Российской Федерации, законодатель в Федеральном конституционном законе «О Конституционном Суде Российской Федерации» предусмотрел, что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Самарской общественной организации ЛГБТ+ «Ирида»,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