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Чернова Олега Николаевича на нарушение его конституционных прав положениями статей 722 и 157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О.Н.Чернова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О.Н.Чернов оспаривает конституционность следующих положений Трудового кодекса Российской Федерации: статьи 722, а фактически положения ее части третьей, определяющего простой как временную приостановку работы по причинам экономического, технологического, технического или организационного характера; статьи 157, закрепляющей правила оплаты времени простоя, а фактически ее часть первую, согласно которой время простоя по вине работодателя оплачивается в размере не менее двух третей средней заработной платы работника, за исключением случаев, предусмотренных данным Кодексом. 2 По мнению заявителя, неоднократно обращавшегося в суд с исковыми требованиями к различным работодателям о взыскании оплаты времени простоя, в удовлетворении которых ему было отказано, оспариваемые положения не соответствуют статьям 19 (часть 2) и 37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не обязывают работодателя в случае невызова работника, выполняющего работу вахтовым методом, на вахту после окончания междувахтового отдыха, а также в случае невызова работника на работу после дней отдыха или отгулов объявлять о введении простоя в отношении работника.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Чернова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