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Тихонова Владимира Михайловича на нарушение его конституционных прав пунктами 1 и 2 статьи 408 Гражданского кодекса Российской Федерации во взаимосвязи с пунктом 1 статьи 1102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В.М.Тихонова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В.М.Тихонов оспаривает конституционность пунктов 1 и 2 статьи 408 «Прекращение обязательства исполнением» ГК Российской Федерации в их взаимосвязи с пунктом 1 статьи 1102 «Обязанность возвратить неосновательное обогащение» того же Кодекса. Как следует из представленных материалов, определением суда апелляционной инстанции, с которым согласились суды кассационной инстанции, в удовлетворении требования заявителя о взыскании неосновательного обогащения отказано. В обоснование иска среди прочего было указано, что ответчик на основании доверенности совершил сделку по 2 отчуждению имущества истца, однако денежных средств, полученных по договору купли-продажи этого имущества, истцу не передал. Суд апелляционной инстанции на основе представленных сторонами спора доказательств исходил из того, что обязательство о передаче денежных средств, вырученных от продажи имущества истца, ответчиком исполнено, о чем свидетельствует подписанная истцом расписка о получении денежных средств, а также что выдача расписки позднее даты отчуждения имущества не позволяет сделать вывод о ее недействительности. По мнению В.М.Тихонова, оспариваемые нормы во взаимосвязи не соответствуют статьям 17 (часть 3) и 37 (части 1 и 2) Конституции Российской Федерации, поскольку они позволяют подтверждать исполнение обязательства распиской, изготовленной должником и подписанной кредитором не в день ее составления, а позднее, притом что подпись кредитора не является органично встроенной в текст расписки, а даты составления расписки, ее подписания и фактической передачи денежных средств не совпадают.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408 ГК Российской Федерации направлены в том числе на обеспечение определенности в правоотношениях между кредитором и должником, а пункт 1 статьи 1102 этого Кодекса, закрепляющий правовые последствия неосновательного обогащения, призван обеспечить защиту и восстановление имущественных прав участников гражданского оборота. Данные положения как сами по себе, так и во взаимосвязи не нарушают конституционных прав заявителя в обозначенном в жалобе аспекте. Установление же и исследование фактических обстоятельств конкретного дела (в частности, связанных с подписанием расписки кредитором), а также проверка правильности применения правовых норм с учетом указанных обстоятельств, на что, по существу, направлены доводы 3 заявителя,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Тихонова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