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Горюнкова Сергея Николаевича на нарушение его конституционных прав главами 28, 29 и 30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С.Н.Горюнкова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С.Н.Горюнков оспаривает конституционность глав 28 «Возбуждение дела об административном правонарушении», 29 «Рассмотрение дела об административном правонарушении» и 30 «Пересмотр постановлений и решений по делам об административных правонарушениях» КоАП Российской Федерации. Как следует из представленных материалов, определением судьи суда общей юрисдикции, с которым согласился судья вышестоящего суда, было прекращено производство по жалобе заявителя на определение должностного лица о возбуждении дела об административном правонарушении, 2 предусмотренном статьей 6.11 «Побои» КоАП Российской Федерации, со ссылкой на то, что обжалование таких определений данным Кодексом не предусмотрено. По мнению С.Н.Горюнкова, оспариваемые законоположения не соответствуют статьям 17 (части 1 и 2), 18 и 46 (части 1 и 2) Конституции Российской Федерации, поскольку не содержат положений, позволяющих обжаловать в судебном порядке определение о возбуждении дела об административном правонарушении.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Горюнкова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