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Ефремовой Юлии Васильевны на нарушение ее конституционных прав пунктом 1 статьи 196 и пунктом 1 статьи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Ю.В.Ефремовой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Ю.В.Ефремова оспаривает конституционность пункта 1 статьи 196 «Общий срок исковой давности» и пункта 1 статьи 200 «Начало течения срока исковой давности» ГК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Ю.В.Ефремовой в удовлетворении исковых требований о взыскании задолженности по алиментам с наследника, обращении взыскания на наследственную массу отказано. Суды пришли к выводу о пропуске заявительницей срока исковой давности, что явилось самостоятельным 2 основанием к отказу в удовлетворении требований.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противоречат статьям 2, 6, 7, 15, 17, 18, 38, 45, 46, 55 и 671 Конституции Российской Федерации, поскольку они по смыслу, придаваемому им правоприменительной практикой, препятствуют взысканию задолженности по алиментам с наследника умершего родителя, вина которого в злостном уклонении от уплаты алиментов установлена судом.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Ефремовой Юлии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