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Зубцова Владимира Витальевича на нарушение его конституционных прав частью второй статьи 252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В.В.Зубцова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7 сентября 2023 года), отказано в передаче для рассмотрения в судебном заседании Президиума Верховного Суда Российской Федерации надзорной жалобы в защиту гражданина В.В.Зубцова на вынесенные в его отношении приговор и апелляционное определение. При этом констатировано, что изменение судом первой инстанции обвинения не ухудшило положение подсудимого и не повлекло нарушения права на защиту. 2 В этой связи заявитель просит признать не соответствующей статьям 19 и 46 Конституции Российской Федерации часть вторую статьи 252 «Пределы судебного разбирательства» УПК Российской Федерации в той мере, в которой она в силу свой неопределенности позволяет суду в совещательной комнате существенно изменять фабулу предъявленного обвинения.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252 УПК Российской Федерации определяет, что судебное разбирательство проводится только в отношении обвиняемого и лишь по предъявленному ему обвинению (часть первая); изменение обвинения в судебном разбирательстве допускается, если этим не ухудшается положение подсудимого и не нарушается его право на защиту (часть вторая). Эти правила относятся к общим условиям судебного разбирательства и направлены на защиту интересов подсудимого (определения Конституционного Суда Российской Федерации от 24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Зубцова Владимира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