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Романовой Маргариты Геннадьевны на нарушение ее конституционных прав пунктом 1 статьи 196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М.Г.Романовой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М.Г.Романова оспаривает конституционность пункта 1 статьи 196 ГК Российской Федерации, согласно которому общий срок исковой давности составляет три года со дня, определяемого в соответствии со статьей 200 того же Кодекса. Как следует из представленных материалов, заявительница обратилась в суд с иском к гражданину Р.Ю. о взыскании с него денежных средств в счет причитавшегося ей после смерти гражданина Р.Г. наследственного имущества и истребовании ее личного имущества из чужого незаконного владения. Решением суда общей юрисдикции, с которым согласились суды вышестоящих инстанций, в удовлетворении требований отказано. Суды, 2 помимо прочего, пришли к выводу о пропуске М.Г.Романовой срока исковой давности. По мнению заявительницы, оспариваемая норма противоречит статье 35 (часть 4) Конституции Российской Федерации, поскольку препятствует наследнику, имеющему право на обязательную долю в наследстве, в получении причитающегося имущества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Романовой Маргариты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