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Петиной Нелли Шамильевны на нарушение ее конституционных прав статьями 235 и 432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Н.Ш.Петиной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Н.Ш.Петина оспаривает конституционность статьи 235 «Основания прекращения права собственности» во взаимосвязи со статьей 432 «Основные положения о заключении договора»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Н.Ш.Петиной отказано в удовлетворении исковых требований, в частности, о признании ничтожной сделки между ответчиком и гражданином М. в части продажи 1/4 доли в праве общей собственности на нежилое строение и применении последствий недействительности ничтожной сделки; признании права заявительницы на 1/4 доли в праве общей собственности на нежилое 2 строение М. Определением судьи Верховного Суда Российской Федерации, с которым согласился заместитель Председателя этого суда, Н.Ш.Петиной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положения, рассматриваемые во взаимосвязи, противоречат статьям 8 и 35 Конституции Российской Федерации, поскольку предоставляют суду неограниченное право оценивать заключенный договор без определения объективных критериев, а также позволяют не указывать, какие доли были отчуждены собственником, какие условия договора могут свидетельствовать о его заключении при отсутствии доказательств гибели и уничтожения имущества одного из собственников.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Петиной Нелли Шамильевны,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