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Васюкова Валерия Ивановича на нарушение его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В.И.Васюкова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В.И.Васюков оспаривает конституционность части второй статьи 392 Трудового кодекса Российской Федерации,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По мнению заявителя, оспариваемая норма, примененная в его деле судом, не соответствует Конституции Российской Федерации, поскольку 2 ограничивает годичным сроком обращение работника в суд с требованием о взыскании сумм заработной платы, не начисленной и не выплаченной ему за весь период трудовых отношений.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Васюкова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