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«Главленэксперт» на нарушение его конституционных прав пунктом 1 статьи 370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«Главленэксперт»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«Главленэксперт» (далее также – общество, заявитель) оспаривает конституционность пункта 1 статьи 370 ГК Российской Федерации, согласно которому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2 обязательств, даже если в независимой гарантии содержатся ссылки на них. Как следует из представленных материалов, решением арбитражного суда, с которым согласились вышестоящие арбитражные суды, отказано в удовлетворении иска общества к банку – гаранту по независимой гарантии о взыскании убытков. В обоснование своей позиции заявитель среди прочего указывал, что сумма, уплаченная истцом за выдачу банковской гарантии, которая впоследствии не была использована не по вине истца, должна быть возвращена банком. Суды установили, что спорная сумма получена банком в соответствии с договором, которым расходы на выплату вознаграждения банку в виде единовременной платы за предоставление гарантии не поставлены в зависимость от отказа бенефициара от заключения контракта, а сумма комиссионного вознаграждения не зависит от периода пользования гарантией, а также пришли к выводу, что истец не доказал наличия совокупности условий, необходимых для взыскания с банка заявленных убытков, в том числе незаконности действий банка и необоснованности приобретения им спорной суммы. По мнению общества, оспариваемая норма противоречит статье 35 (части 1–3) Конституции Российской Федерации, поскольку позволяет не возвращать победителю процедуры определения поставщика (подрядчика, исполнителя) полученное гарантом вознаграждение за выдачу независимой гарантии, выданной в целях заключения контракта, в случае если контракт не был заключен не по вине такого победителя.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судебными постановлениями не 3 подтверждается применение оспариваемых положений судами при разрешении дела с его участием.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«Главленэксперт»,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