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Кудрявцева Сергея Антоновича на нарушение его конституционных прав пунктами «а», «б» части шестой статьи 1711, пунктом «б» части второй статьи 1713, пунктом «б» части шестой статьи 3271 Уголовного кодекса Российской Федерации, частью четвертой статьи 302, пунктом 1 части второй статьи 40110, пунктом 1 части первой и частью третьей статьи 40114 Уголовно-процессуального кодекса Российской Федерации и пунктом 7 статьи 2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С.А.Кудрявцева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С.А.Кудрявцев, осужденный к лишению свободы, оспаривает конституционность пунктов «а», «б» части шестой статьи 1711 «Производство, приобретение, хранение, перевозка или сбыт товаров и продукции без маркировки и (или) нанесения информации, предусмотренной законодательством Российской Федерации», пункта «б» части второй статьи 2 1713 «Незаконные производство и (или) оборот этилового спирта, алкогольной и спиртосодержащей продукции», пункта «б» части шестой статьи 3271 «Изготовление, сбыт поддельных акцизных марок, специальных марок или знаков соответствия либо их использование» УК Российской Федерации, части четвертой статьи 302 «Виды приговоров», пункта 1 части второй статьи 40110 «Действия суда кассационной инстанции при поступлении кассационных жалобы, представления», пункта 1 части первой и части третьей статьи 40114 «Решение суда кассационной инстанции» УПК Российской Федерации и пункта 7 статьи 2 «Основные понятия, используемые в настоящем Федеральном законе»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 мнению заявителя, оспариваемые законоположения не соответствуют статьям 1, 2, 15 (часть 2), 18, 45, 46 (части 1 и 2) и 49 Конституции Российской Федерации, поскольку при производстве по уголовному делу позволили привлечь его к уголовной ответственности без надлежащего исследования обстоятельств произошедшего, без установления вопроса, относится ли изъятая спиртосодержащая продукция к пищевой и алкогольной, без обеспечения обвиняемого процессуальными гарантиями и презумпцией невиновности, без выводов о доказанности его вины, а также с нарушениями его права на защиту.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заявителем в обоснование своей позиции, свидетельствуют о том, что нарушение своих конституционных прав он связывает не с содержанием оспариваемых норм, а с ходом производства по его уголовному делу и установлением в его рамках фактических обстоятельств. Между тем установление таких обстоятельств, а также 3 проверка правомерности действий и решений должностных лиц правоприменительных органов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Кудрявцева Сергея Антоновича,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