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1879-О/2024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«МОЛСИ» на нарушение его конституционных прав пунктом 4 статьи 22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«МОЛСИ»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«МОЛСИ» (далее также – общество) оспаривает конституционность пункта 4 статьи 22 Земельного кодекса Российской Федерации, согласно которому размер арендной платы определяется договором аренды. Как следует из представленных материалов, заявитель с намерением реконструировать принадлежащее ему сооружение, расположенное на арендуемом земельном участке, относящемся к публичной собственности, заключил с арендодателем дополнительное соглашение, предусматривающее дифференцированные ставки арендной платы на период названной реконструкции (6 лет) и повышенную ставку, применяемую после истечения срока аренды до даты фактического ввода объекта капитального 2 строительства в эксплуатацию. Решением арбитражного суда, с которым согласились суды вышестоящих инстанций, с общества взыскана задолженность по арендной плате согласно условиям дополнительного соглашения. Суды отметили помимо прочего наличие вступившего в законную силу решения арбитражного суда от 19 ноября 2021 года, которым заявителю было отказано в иске об изменении указанных договорных условий. По мнению общества, ссылающегося на объективные причины для отказа от запланированной реконструкции, оспариваемое законоположение не соответствует статье 36 (часть 3) Конституции Российской Федерации, поскольку оно позволяет подменять нормативно установленные ставки арендной платы договорными, что противоречит требованию пункта 4 статьи 421 ГК Российской Федерации и влечет взыскание необоснованно высоких арендных платежей без учета фактического использования земельного участка для эксплуатации сооружения, а не для осуществления проектирования и строительства.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Принимая во внимание вытекающий из Конституции Российской Федерации принцип свободы договора, в силу которого стороны договора приобретают и осуществляют свои гражданские права своей волей и в своем интересе, свободны в установлении своих прав и обязанностей на основе договора и в определении любых не противоречащих законодательству условий договора (пункт 2 статьи 1 ГК Российской Федерации), а также принцип надлежащего исполнения гражданско-правовых обязательств (статья 309 ГК Российской Федерации), оспариваемое законоположение само по себе не может расцениваться как нарушающее конституционные права заявителя, притом что представленные судебные постановления не связаны со спором о действительности заключенного дополнительного соглашения к договору аренды. 3 Установление же и исследование фактических обстоятельств конкретного дела, непосредственно влияющих на выбор правовых норм, подлежащих применению в таком деле, не входят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«МОЛСИ»,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