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«Газпром трансгаз Саратов» на нарушение его конституционных прав пунктом 1 части первой статьи 77 и статьей 78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«Газпром трансгаз Саратов»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трансгаз Саратов» оспаривает конституционность следующих положений Трудового кодекса Российской Федерации: пункта 1 части первой статьи 77, закрепляющего, что основанием прекращения трудового договора является соглашение сторон; статьи 78, в соответствии с которой трудовой договор может быть в любое время расторгнут по соглашению сторон трудового договора. По мнению заявителя, оспариваемые взаимосвязанные законоположения, примененные в его деле судами общей юрисдикции, не 2 соответствуют статьям 1, 15 и 37 Конституции Российской Федерации, поскольку в контексте сложившегося судебного толкования предоставляют работнику право совершать произвольные и противоречивые односторонние действия, направленные на отказ от ранее достигнутого на основании свободного взаимного волеизъявления сторон соглашения о прекращении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«Газпром трансгаз Саратов»,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