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Рябова Максима Юрьевича на нарушение его конституционных прав частью 1 статьи 42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М.Ю.Рябова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М.Ю.Рябов оспаривает конституционность части 1 статьи 42 Градостроительного кодекса Российской Федерации, в соответствии с которой подготовка проектов планировки территории 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территории. Как следует из представленных материалов, вступившим в законную силу решением суда общей юрисдикции заявителю отказано в 2 удовлетворении требования о признании незаконным формирования администрацией муниципального образования земельного участка под многоквартирным домом. Суды, приняв во внимание в том числе градостроительную и землеустроительную документацию, отклонили довод М.Ю.Рябова о включении в границы земельного участка территории общего пользования, предназначенной для проезда к иным домам, а также пришли к выводу о недоказанности нарушений его прав формированием данного участка. По мнению М.Ю.Рябова, оспариваемое законоположение не соответствует статьям 35 (части 1 и 2) и 36 Конституции Российской Федерации, поскольку связывает возникновение территории общего пользования с обозначением ее границ в проекте планировки территории.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Рябова Максима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