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Калашникова Владимира Александровича на нарушение его конституционных прав статьей 2261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В.А.Калашникова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В.А.Калашников и другое лицо осуждены за незаконное перемещение через таможенную границу Таможенного союза в рамках ЕврАзЭС стратегически важных ресурсов в крупном размере. Заявитель утверждает, что статья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2 интеллектуальной деятельности, которые могут быть использованы при создании вооружения или военной техники, а равно стратегически важных товаров и ресурсов или культурных ценностей либо особо ценных диких животных, водных биологических ресурсов, растений и грибов» УК Российской Федерации противоречит статьям 17 (часть 1), 19, 21 (часть 1), 41 (часть 1), 46 (часть 1), 54 и 55 (часть 3) Конституции Российской Федерации, поскольку является неопределенной относительно порядка и условий перемещения через Государственную границу Российской Федерации с государствами – членами Таможенного союза стратегически важных товаров и ресурсов, не предполагает специфики декларирования информации об их производителе, что не позволяет участникам внешнеэкономической деятельности осознавать общественно опасный и противоправный характер своих действий и предвидеть их уголовно-правовые последствия.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Калашникова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