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Цатряна Романа Робертовича на нарушение его конституционных прав положением части 1 статьи 11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Р.Р.Цатряна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Р.Р.Цатрян, являющийся индивидуальным предпринимателем, оспаривает конституционность части 1 (а фактически – пункта 2 данной части) статьи 11 Федерального закона от 26 июля 2006 года № 135-ФЗ «О защите конкуренции», согласно которой признаются картелем и запрещаются соглашения между хозяйствующими субъектами- конкурентами, т.е. между хозяйствующими субъектами, осуществляющими продажу товаров на одном товарном рынке, или между хозяйствующими субъектами, осуществляющими приобретение товаров на одном товарном рынке, если такие соглашения приводят или могут привести к повышению, снижению или поддержанию цен на торгах. 2 Из представленных материалов следует, что решением антимонопольного органа действия Р.Р.Цатряна и других участников аукционов (индивидуальных предпринимателей и юридических лиц) были признаны нарушением пункта 2 части 1 статьи 11 Федерального закона «О защите конкуренции». Арбитражный суд первой инстанции, с которым согласились суды вышестоящих инстанций, отказал заявителю в удовлетворении требования об оспаривании решения антимонопольного органа. Как указали суды, антимонопольным органом доказано наличие картельного соглашения между участниками торгов, что повлекло поддержание цен на торгах. Суды согласились с выводами антимонопольного органа о наличии причинно-следственной связи между соглашением участников (выразившимся в сознательном отказе от конкуренции друг с другом) и наступившими последствиями в виде заключения государственных контрактов с минимальным снижением их начальной (максимальной) цены. По мнению заявителя, оспариваемая норма не соответствует статьям 4 (часть 2), 8, 19 (части 1 и 2), 34 (часть 2), 45 и 46 (часть 1) Конституции Российской Федерации в той мере, в какой она позволяет прийти к выводу о нарушении антимонопольного законодательства без исследования фактических обстоятельств и определения реальности угрозы ограничения конкуренции, привлекать к ответственности лишь за имеющуюся согласованность действий без установления факта, подтверждающего, что такая согласованность приводит или может привести к повышению, снижению или поддержанию цен на торгах. Кроме того, Р.Р.Цатрян просит отменить судебные акты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3 оспариваемой нормы,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исследование и оценка фактических обстоятельств, имеющих значение для разрешения дела, в том числе связанных с установлением наличия картельного соглашения между хозяйствующими субъектами, а равно и разрешение иных вопросов, поставленных в жалобе,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Цатряна Романа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