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1552-О/2024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«Совместное предприятие Промышленно-энергетические технологии» на нарушение его конституционных прав частью 1 статьи 4 и пунктом 3 части 4 статьи 170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«Совместное предприятие Промышленно- энергетические технологии»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«Совместное предприятие Промышленно-энергетические технологии» (далее также – ООО «СП ПЭНТ») оспаривает конституционность части 1 статьи 4 «Право на обращение в арбитражный суд» и пункта 3 части 4 статьи 170 «Содержание решения» АПК Российской Федерации. Как следует из представленных материалов, решением арбитражного суда, оставленным без изменения судами вышестоящих инстанций, ООО 2 «СП ПЭНТ» отказано в удовлетворении искового требования к юридическому лицу о взыскании денежных средств.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суда кассационной инстанции. По мнению ООО «СП ПЭНТ», оспариваемые положения по смыслу, придаваемому им судебной практикой, противоречат Конституции Российской Федерации, ее статьям 18, 40 (часть 1), 46 (часть 1), 118 (части 1 и 2), 120 и 126, поскольку позволяют арбитражному суду не рассматривать спор по определенному истцом предмету и не приводить мотивов, по которым было отказано в применении конкретной нормы права, указанной истцом в обоснование своего требования.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4 АПК Российской Федерации, закрепляющая, помимо прочего, что заинтересованное лицо в порядке, установленном этим Кодексом, вправе обратиться в арбитражный суд за защитой своих нарушенных или оспариваемых прав и законных интересов, а равно и пункт 3 части 4 статьи 170 данного Кодекса, устанавливающий обязанность арбитражного суда указать в мотивировочной части решения законы и иные нормативные правовые акты, которыми он руководствовался при принятии решения, и мотивы, по которым не применил законы и иные нормативные правовые акты, на которые ссылались лица, участвующие в деле, выступают процессуальными гарантиями обеспечения реализации права на судебную защиту (статья 46 Конституции Российской Федерации). Данные нормы не предполагают их произвольного применения, в том числе в части определения предмета иска, что является прерогативой истца (часть 1 статьи 49 «Изменение основания или предмета иска, изменение размера исковых требований, отказ от иска, признание иска, мировое 3 соглашение», пункт 4 части 2 статьи 125 «Форма и содержание искового заявления» АПК Российской Федерации), и не могут расцениваться в качестве нарушающих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«Совместное предприятие Промышленно- энергетические технологии»,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