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Ягфарова Дамира Булатовича на нарушение его конституционных прав частью 2 статьи 117 и частью 2 статьи 259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Д.Б.Ягфарова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Д.Б.Ягфаров оспаривает конституционность части 2 статьи 117 «Восстановление процессуальных сроков» и части 2 статьи 259 «Срок подачи апелляционной жалобы» АПК Российской Федерации. Как следует из представленных материалов, определением арбитражного апелляционного суда, оставленным без изменения арбитражным судом кассационной инстанции, Д.Б.Ягфарову отказано в восстановлении срока подачи апелляционной жалобы на определение арбитражного суда, которым он был привлечен к субсидиарной ответственности по обязательствам юридического лица, производство по апелляционной жалобе прекращено.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Д.Б.Ягфарова, оспариваемые законоположения противоречат статье 46 (часть 1) Конституции Российской Федерации, поскольку в силу неопределенности их содержания позволяют арбитражному суду отказывать в восстановлении процессуального срока на подачу апелляционной жалобы по формальным основаниям.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Ягфарова Дамира Булатовича,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