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2544-О/2024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Кушкина Александра Александровича на нарушение его конституционных прав положениями ряда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А.А.Кушкина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А.А.Кушкин оспаривает конституционность части 2 статьи 12.27 «Невыполнение обязанностей в связи с дорожно-транспортным происшествием», положения части 3 статьи 23.1 «Судьи», статьи 24.1 «Задачи производства по делам об административных правонарушениях», части 4 статьи 28.3 «Должностные лица, уполномоченные составлять протоколы об административных правонарушениях», части 3 статьи 28.7 «Административное расследование», пункта 6 части 1 статьи 29.10 «Постановление по делу об административном правонарушении» КоАП Российской Федерации, статьи 2 «Основные термины» Федерального закона от 10 декабря 1995 года № 196-ФЗ «О безопасности дорожного движения» в части, определяющей понятие «дорожно-транспортное происшествие», а 2 также пунктов 2.5 и 2.6.1 Правил дорожного движения Российской Федерации (утверждены Постановлением Совета Министров – Правительства Российской Федерации от 23 октября 1993 года № 1090). Как следует из представленных материалов, постановлением мирового судьи, оставленным без изменения вышестоящими судами, А.А.Кушкин признан виновным в совершении административного правонарушения, предусмотренного частью 2 статьи 12.27 КоАП Российской Федерации. Заявитель просит признать оспариваемые нормы не соответствующими ряду статей Конституции Российской Федерации, поскольку они, по его мнению, являются неопределенными и допускают произвольное привлечение к административной ответственности водителя за оставление места дорожно- транспортного происшествия, участником которого он являлся.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Оспаривая конституционность указанных норм, заявитель исходит из того, что они запрещают водителю при дорожно-транспортном происшествии перемещать транспортное средство до признания его виновным в совершении соответствующего правонарушения. Заявитель также утверждает, что он незаконно привлечен к административной ответственности, поскольку, в частности: повреждение металлического ограждения (отбойника) не является дорожно-транспортным происшествием, дело в отношении него было возбуждено не уполномоченным на то должностным лицом и рассмотрено с нарушением правил подсудности, при этом доводы его жалобы на постановление по делу об административном правонарушении были немотивированно отклонены. Таким образом, заявитель фактически выражает несогласие не с оспариваемыми нормами, положения которых сами по себе не могут рассматриваться как нарушающие его конституционные права в указанном им аспекте, а с правоприменительными действиями и решениями, которые были совершены (приняты) в рамках производства по его делу об 3 административном правонарушении. Между тем проверка их обоснованности, как связанная с исследованием фактических обстоятельств,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Кушкина Александра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