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Харитонкина Олега Анатольевича на нарушение его конституционных прав частью пятой статьи 329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О.А.Харитонкина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О.А.Харитонкин оспаривает конституционность части пятой статьи 329 ГПК Российской Федерации, согласно которой определение суда апелляционной инстанции вступает в законную силу со дня его принятия. Как следует из представленных материалов, определением суда апелляционной инстанции, оставленным без изменения судом кассационной инстанции, отказано в удовлетворении заявления О.А.Харитонкина об исправлении арифметической ошибки в апелляционном определении, вынесенном по делу с его участием. Определением судьи Верховного Суда Российской Федерации отказано в передаче кассационной жалобы заявителя 2 для рассмотрения в судебном заседании Судебной коллегии по гражданским делам Верховного Суда Российской Федерации. По мнению заявителя, оспариваемое законоположение противоречит статьям 19 (часть 1), 35 (части 1 и 2), 45 (часть 1), 46 (часть 1), 55 (части 2 и 3) и 123 (часть 3) Конституции Российской Федерации, поскольку оно не обеспечивает гарантий рассмотрения жалобы на определение суда апелляционной инстанции об отказе в исправлении явной арифметической ошибки по правилам апелляционного 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Харитонкина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