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«ЭГП» на нарушение его конституционных прав статьей 114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«ЭГП»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«ЭГП» (далее также – ООО «ЭГП») оспаривает конституционность статьи 114 «Окончание процессуальных сроков» АПК Российской Федерации. Как следует из представленных материалов, определением арбитражного апелляционного суда, оставленным без изменения арбитражным судом кассационной инстанции, ООО «ЭГП» возвращена апелляционная жалоба в связи с неустранением обстоятельств, послуживших основанием для оставления этой жалобы без движения, в срок, установленный в определении суда. При этом арбитражный суд кассационной инстанции, отклонив довод заявителя о том, что документы во исполнение определения об оставлении апелляционной жалобы без движения 2 были направлены им в суд до истечения срока указанного в этом определении, указал на то, что к назначенному судом сроку такие документы в суд не поступили.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«ЭГП», оспариваемое законоположение по смыслу, придаваемому ему в системе действующего правового регулирования сложившейся правоприменительной практикой, противоречит Конституции Российской Федерации, ее статьям 45 и 55 (часть 3), поскольку лишает его возможности обжалования судебного акта в апелляционном порядке.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«ЭГП»,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