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1638-О/2024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«ДОМРУС» на нарушение его конституционных прав частью 4 статьи 200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«ДОМРУС»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«ДОМРУС» (далее также – ООО «ДОМРУС», общество) оспаривает конституционность части 4 статьи 200 «Судебное разбирательство по делам об оспаривании ненормативных правовых актов, решений и действий (бездействия) органов, осуществляющих публичные полномочия, должностных лиц» АПК Российской Федерации. Решением арбитражного суда, оставленным без изменения судами вышестоящих инстанций, отказано в удовлетворении заявления ООО «ДОМРУС» об оспаривании решения антимонопольного органа, которым жалоба общества на действия организатора торгов, выразившиеся в 2 неправомерном допуске к ним другого участника, была признана необоснованной. Суды указали, что независимо от оценки правомерности действий организатора торгов оспариваемое решение не повлекло нарушения прав заявителя, поскольку торги были признаны несостоявшимся в результате недобросовестного поведения самого общества, неоднократно предлагавшего на торгах цену ниже минимально допустимого предела. Суды также приняли во внимание, что общество признано победителем последующих торгов на более выгодных условиях. Определением судьи Верховного Суда Российской Федерации отказано в передаче кассационной жалобы ООО «ДОМРУС» для рассмотрения в судебном заседании суда кассационной инстанции. По мнению заявителя, оспариваемое положение не соответствует статьям 8 (часть 1), 19 (часть 1) и 34 (часть 1) Конституции Российской Федерации, поскольку оно позволяет арбитражным судам по итогам рассмотрения дела прийти к выводу о том, что права и законные интересы законопослушного участника торгов не нарушены в результате незаконного допуска к торгам другого участника, на основании того, что законопослушный участник предлагал на торгах цену ниже минимально допустимого предела, вынужденно торгуясь с незаконно допущенным участником торгов, предлагавшим более низкую цену и тем самым не позволявшим законопослушному участнику победить на торгах.</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4 статьи 200 АПК Российской Федерации, закрепляющая возможность удовлетворения заявления об оспаривании ненормативных правовых актов, решений и действий (бездействия) в зависимости от выявления арбитражным судом нарушения этим актом, решением или действием (бездействием) прав и свобод заявителя, конкретизирует тем самым статью 46 (части 1 и 2) Конституции Российской Федерации (определения Конституционного Суда Российской Федерации от 28 мая 2020 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«ДОМРУС»,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