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первой статьи 377, частями первой и второй статьи 3781, частью второй статьи 3791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С.Б.Козлова, чьи кассационные жалобы как возвращались ей, так и направлялись в суд первой инстанции для совершения предусмотренных законом процессуальных действий, оспаривает конституционность части первой статьи 377 «Порядок подачи кассационных жалобы, представления», частей первой и второй статьи 3781 «Принятие кассационных жалобы, представления к производству суда», части второй статьи 3791 «Возвращение кассационных жалобы, представления без рассмотрения по существу» ГПК Российской Федерации. 2 По мнению заявительницы,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15 (часть 3), 19 (часть 1), 46 (части 1 и 2) и 123 (часть 3) Конституции Российской Федерации, поскольку не предусматривают обязанность суда первой инстанции направить кассационную жалобу в суд вышестоящей инстанции, а также позволяют суду кассационной инстанции возвращать кассационную жалобу ее подателю без возможности обжаловать данное процессуальное действие.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 обязывают суд первой инстанции направить кассационную жалобу вместе с делом в соответствующий суд кассационной инстанции в трехдневный срок со дня поступления жалобы в суд (часть первая статьи 377), а судью кассационного суда общей юрисдикции – принять к производству этого суда такую жалобу, если она подана с соблюдением установленных законом требований (части первая и вторая статьи 3781). Также допускается возвращение кассационной жалобы подавшему ее лицу, но только при наличии оснований, указанных в статье 3791 ГПК Российской Федерации, о чем выносится определение, которое может быть обжаловано в порядке, предусмотренном статьей 3792 ГПК Российской Федерации. Такое возвращение не препятствует повторному обращению с кассационной жалобой в кассационный суд общей юрисдикции в общем порядке после устранения обстоятельств, послуживших основанием для ее возвращения. Данное правовое регулирование призвано обеспечить возможность исправления судебных ошибок и не препятствует обжалованию вступивших в законную силу судебных постановлений, а потому не может расцениваться в качестве нарушающего конституционные права заявительницы, в том числе 3 ее право на судебную защиту, поскольку из него не вытекает возможность выбора заинтересованным лицом по своему усмотрению конкретных форм и способов его реализации, которые с соблюдением требований Конституции Российской Федерации устанавливаются федеральным законом. Оценка же правильности процессуальных действий должностного лица, связанных с поданными заявительницей кассационными жалобами,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