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Дейна Вадима Валерьевича на нарушение его конституционных прав частью первой статьи 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В.В.Дейна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гражданину В.В.Дейну, участвовавшему в экономическом споре в качестве третьего лица, и обществу с ограниченной ответственностью «Лес» (далее также – ООО «Лес», общество) отказано в передаче надзорных жалоб для рассмотрения в судебном заседании Президиума Верховного Суда Российской Федерации. В жалобах оспаривалось решение суда кассационной инстанции, которым оставлено в силе решение арбитражного суда об отказе в удовлетворении иска ООО «Лес» к органу местного самоуправления о возврате неосновательного обогащения. В обоснование иска среди прочего 2 было указано, что право требовать возврата неосновательного обогащения, возникшего, по мнению истца, у В.В.Дейна к муниципалитету в результате возмещения В.В.Дейном рыночной стоимости земельных участков во исполнение приговора суда с учетом решения арбитражного суда об изъятии в пользу муниципалитета из владения ООО «Лес» предмета похищенного, приобретено обществом на основании договора уступки требования (цессии). Отказывая в удовлетворении исковых требований, арбитражные суды исходили в том числе из того, что на стороне муниципалитета не возникло неосновательного обогащения, поскольку двойного взыскания с одного лица не имеется; материальный ущерб взыскан с осужденного В.В.Дейна по приговору суда в связи с причинением вреда преступлением, а земельные участки истребованы у их покупателей – иных лиц. В этой связи В.В.Дейн просит признать не соответствующей статьям 17 (часть 1), 19 и 35 (части 1 и 2) Конституции Российской Федерации часть первую статьи 44 «Гражданский истец» УПК Российской Федерации, которая в силу неопределенности позволяет судам общей юрисдикции и арбитражным судам по своему усмотрению устанавливать особый статус собственника в уголовном процессе и в арбитражном процессе, ограничивая права юридических и физических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44 УПК Российской Федерации устанавливает, что гражданским истцом является физическое или юридическое лицо, предъявившее требование о возмещении имущественного вреда, при наличии оснований полагать, что данный вред причинен ему непосредственно преступлением; решение о признании гражданским истцом оформляется определением суда или постановлением судьи, следователя, дознавателя; гражданский истец может предъявить гражданский иск и для имущественной компенсации морального вреда. 3 Данная норма не регламентирует отношения по возмещению вреда, причиненного преступлением, конкретизирует положения статей 46 и 52 Конституции Российской Федерации и не может расцениваться как нарушающая права заявителя указанным им образом.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Дейна Вадима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