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Алкина Рамиля Ризуановича на нарушение его конституционных прав частью второй статьи 191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Р.Р.Алкина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Р.Р.Алкин оспаривает конституционность части второй (в жалобе ошибочно именуемой абзацем 2) статьи 191 Трудового кодекса Российской Федерации, согласно которой другие виды поощрений работников за труд (не предусмотренные частью первой данной статьи) определяются коллективным договором или правилами внутреннего трудового распорядка, а также уставами и положениями о дисциплине; за особые трудовые заслуги перед обществом и государством работники могут быть представлены к государственным наградам. По мнению заявителя, оспариваемая норма не соответствует Конституции Российской Федерации, в том числе ее статьям 19, 37 (часть 3) 2 и 751, в той мере, в какой по смыслу, придаваемому ей правоприменительной практикой, позволяет работодателю игнорировать положения локальных нормативных актов и произвольно решать вопрос о выплате работнику премии, а судам признавать такие действия работодателя законными. Оспариваемые положения применены в деле заявителя судами общей юрисдикции.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191 Трудового кодекса Российской Федерации предоставляет работодателю право поощрять работника за добросовестный и эффективный труд, в том числе путем выдачи премии. Такая премия в соответствии с буквальным смыслом указанной нормы является одним из видов поощрения, применение которого относится к дискреции работодателя. Часть вторая названной статьи предоставляет работодателю возможность определить виды поощрений работников за добросовестное исполнение трудовых обязанностей, направлена на обеспечение эффективного управления трудовой деятельностью с учетом интересов работников (определения Конституционного Суда Российской Федерации от 28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Алкина Рамиля Ризуановича,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