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Ишкова Виктора Михайловича на нарушение его конституционных прав статьей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В.М.Ишкова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В.М.Ишков оспаривает конституционность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Решением суда общей юрисдикции частично удовлетворен административный иск В.М.Ишкова: признано незаконным бездействие судебного пристава-исполнителя, выразившееся в непредставлении ответа на заявление административного истца; на административного ответчика возложена обязанность устранить допущенное нарушение. 2 Впоследствии судебным решением, оставленным без изменения вышестоящими судами, отказано в удовлетворении иска В.М.Ишкова о взыскании компенсации морального вреда, причиненного незаконным бездействием судебного пристава-исполнителя. Суды указали, что истцом не представлено доказательств нарушения его личных неимущественных прав, причинения ему физических и нравственных страданий судебным приставом-исполнителем. Определением судьи Верховного Суда Российской Федерации отказано в передаче кассационной жалобы В.М.Ишкова для рассмотрения в судебном заседании суда кассационной инстанции. По мнению заявителя, оспариваемое положение не соответствует статье 53 Конституции Российской Федерации, поскольку оно позволяет судам произвольно отказывать в возмещении вреда, причиненного незаконными действиями (бездействием) судебных приставов-исполнителей.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Ишкова Виктора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