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415-О/2024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Каримова Руслана Анваровича на нарушение его конституционных прав статьей 222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Р.А.Каримова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Р.А.Каримов оспаривает конституционность статьи 222 ГК Российской Федерации, закрепляющей, в частности, признаки самовольной постройки и последствия ее возведения. Как следует из представленных материалов, решением суда общей юрисдикции, с которым согласились суды вышестоящих инстанций, заявителю – собственнику земельного участка и жилого дома отказано в удовлетворении исковых требований о признании самовольными строениями объектов, возведенных на смежном земельном участке. Суды указали на предшествующее судебное постановление, вступившее в законную силу, о 2 признании за ответчиками права долевой собственности на спорные объекты, которые уже существовали на момент приобретения истцом земельного участка и не угрожают жизни и здоровью каких-либо лиц, включая участников спора. По мнению Р.А.Каримова, оспариваемая норма не соответствует Конституции Российской Федерации, ее статьям 17 (часть 3), 19 (части 1 и 2), 35 (части 1 и 2), 55 (часть 3) и 751, поскольку ее применение зависит не от наличия градостроительных нарушений при создании самовольной постройки, а от времени приобретения истцами по данной категории дел земельных участков (до создания такой постройки на смежном земельном участке или после).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Каримова Руслана Анваровича,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