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Вячеслава Витальевича на нарушение его конституционных прав частью первой статьи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гражданину В.В.Сысоеву, отбывающему наказание в виде лишения свободы, отказано в принятии к рассмотрению ходатайства о смягчении наказания вследствие издания нового уголовного закона, имеющего обратную силу. При этом отмечено, что доводы его обращения сводились к оспариванию правильности квалификации его действий, а каких-либо изменений в уголовный закон, улучшающих положение заявителя, не вносилось. С таким решением согласились судьи суда кассационной инстанции. 2 Заявитель просит признать не соответствующей статье 50 (часть 3) Конституции Российской Федерации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Федерации, которая, по его мнению, содержит ограниченный круг оснований для отмены или изменения судебного решения и не позволяет исправить судебную ошибку.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часть первая статьи 40115 УПК Российской Федерации – предусматривающая, что основаниями отмены или изменения приговора, определения или постановления суда при рассмотрении уголовного дела в кассационном порядке являются наряду с прочим существенные нарушения уголовного и (или) уголовно-процессуального закона, повлиявшие на исход дела, – какой-либо неопределенности не содержит и отвечает назначению и месту кассационного производства как дополнительного способа защиты прав участников уголовного процесса (определения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Вячеслава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