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Михальченко Николая Михайловича на нарушение его конституционных прав статьей 22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Н.М.Михальченко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Н.М.Михальченко оспаривает конституционность статьи 22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которая определяет порядок обеспечения автомобильных дорог объектами дорожного сервиса, а также устанавливает требования к присоединению стационарных торговых объектов к автомобильным дорогам. Как следует из представленных материалов, вступившими в законную силу актами арбитражных судов удовлетворены исковые заявления 2 уполномоченной организации об обязании индивидуального предпринимателя Н.М.Михальченко, владеющего объектами дорожного сервиса, выполнить работы по капитальному ремонту примыканий к автомобильной дороге общего пользования федерального значения в соответствии с техническими условиями, полученными в уполномоченной организации. По мнению заявителя, оспариваемое законоположение противоречит статьям 19 и 34 Конституции Российской Федерации, поскольку позволяет необоснованно возлагать обязанность по проведению определенных видов капитального ремонта примыкания (устройство переходно-скоростных полос и искусственного освещения) к автомобильной дороге, находящейся в пределах населенного пункта, на владельца объекта дорожного сервиса, произвольно определяя подлежащие применению технические требования.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Оспариваемая статья 22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регулирует отношения, связанные с обеспечением автомобильных дорог объектами дорожного сервиса и, в частности, предполагает осуществление капитального ремонта подъездов, съездов и примыканий, стоянок и мест остановки транспортных средств, переходно-скоростных полос владельцем объекта дорожного сервиса или за его счет, притом что такие работы допускаются при наличии согласия в письменной форме владельцев автомобильных дорог, которое должно содержать технические требования и условия, подлежащие обязательному исполнению (части 10 и 11). Таким образом, оспариваемое законоположение не содержит неопределенности относительно распределения бремени ответственности за осуществление капитального ремонта примыкания объектов дорожного сервиса к дорогам общего пользования и не может рассматриваться как 3 нарушающее в указанном в жалобах аспекте конституционные права заявителя, которым заключены договоры с уполномоченной организацией, в том числе предполагающие осуществление им капитального ремонта соответствующих примыканий. Проверка же обоснованности правоприменительных решений, связанная с установлением обстоятельств конкретных дел, в том числе в части необходимости проведения определенных видов капитального ремонта соответствующих примыканий, а также подлежащих применению технических требований и условий,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Михальченко Николая Михайловича,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