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акционерного общества «Самарагорэнергосбыт» на нарушение его конституционных прав статьей 249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акционерного общества «Самарагорэнергосбыт»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«Самарагорэнергосбыт» оспаривает конституционность статьи 249 ГК Российской Федерации, устанавливающей, что каждый участник долевой собственности обязан соразмерно со своей долей участвовать в уплате налогов, сборов и иных платежей по общему имуществу, а также в издержках по его содержанию и сохранению. Как следует из представленных материалов, заочными решениями мирового судьи, с которыми согласились вышестоящие суды, исковые требования заявителя к одному из сособственников жилого помещения, принадлежащего нескольким лицам на праве общей долевой собственности, о взыскании задолженности за потребленную электрическую энергию были 2 удовлетворены частично. Суды не согласились с расчетом исковых требований заявителя, который распределил возникшую задолженность между частью сособственников, проживающих в одной из комнат жилого помещения, – задолженность взыскана судами исходя из доли ответчика в праве общей долевой собственности на жилое помещение. По мнению заявителя, оспариваемое положение не соответствует статьям 8 (часть 2), 34 (часть 1), 35 (части 1–3) и 46 (часть 1) Конституции Российской Федерации, поскольку в его понимании правоприменителями оно устанавливает императивный порядок участия в расходах по содержанию имущества, находящегося в общей долевой собственности, соразмерно доле каждого участника долевой собственности и не позволяет сособственникам изменить данный порядок несения расходов, в результате чего кредитор лишается возможности взыскать с части сособственников, которые являются его должниками, задолженность по договору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Статья 249 ГК Российской Федерации, закрепляющая обязанность участника долевой собственности соразмерно со своей долей нести расходы по содержанию общего имущества, направлена на обеспечение его сохранности, призвана обеспечить баланс прав и законных интересов участников общей долевой собственности. Эта норма не лишает кредитора возможности взыскивать с участников общей долевой собственности задолженность по оплате коммунальных услуг в полном объеме, а потому не может рассматриваться как нарушающая в указанном в жалобах аспекте конституционные права заявителя, в делах с участием которого суды указали на отсутствие сведений о наличии между сособственниками жилого помещения соглашения, определяющего порядок и размер их участия в расходах по внесению платы за жилое помещение и коммунальные услуги. 3 В компетенцию же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Федерации», установление и оценка фактических обстоятельств, имеющих значение для разрешения дела,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акционерного общества «Самарагорэнергосбыт»,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