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частью 2 статьи 328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 оспаривает конституционность части 2 статьи 328 «Основания для отмены или изменения судебных актов в кассационном порядке» КАС Российской Федерации. Из представленных материалов следует, что вступившим в законную силу решением суда общей юрисдикции заявителю отказано в удовлетворении его административного искового заявления к должностному лицу прокуратуры о признании незаконными его действий и возложении обязанности устранить допущенные нарушения. Как указали суды, направление заявителю уведомления о том, что его обращение оставлено без рассмотрения ввиду прекращения переписки по поставленным вопросам за подписью того же лица, чьи действия оспариваются, является допустимым, 2 так как в этом случае обращение заявителя по существу уже не рассматривается. По мнению заявителя, оспариваемая норма позволяет направлять жалобы для рассмотрения тому же лицу, чьи действия обжаловались, а потому противоречит статьям 17 (часть 2), 18, 19 (часть 1), 21 (часть 1), 45 (часть 2)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