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Воронкова Владимира Леонидовича на нарушение его конституционных прав частью шестой статьи 81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В.Л.Воронкова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В.Л.Воронков оспаривает конституционность части шестой статьи 81 Трудового кодекса Российской Федерации, согласно которой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 Как следует из представленных материалов, заявитель на условиях внешнего совместительства занимал должность главного бухгалтера с ноября 2015 года. В апреле 2019 года В.Л.Воронков известил работодателя о 2 приостановлении работы в связи с задержкой заработной платы. Работодатель в августе 2019 года предупредил заявителя о прекращении трудового договора в связи с приемом на должность главного бухгалтера работника, для которого данная работа будет являться основной, и в сентябре 2019 года трудовой договор с В.Л.Воронковым был прекращен. По мнению В.Л.Воронкова, оспариваемое положение не соответствует статьям 17 (часть 1) и 37 (части 2 и 3) Конституции Российской Федерации, поскольку не содержит запрета на прекращение трудовых отношений по инициативе работодателя в период, когда работник приостанавливает работу в соответствии со статьей 142 Трудового кодекса Российской Федерации, тем самым позволяя работодателю право расторгнуть трудовой договор с работником в указанный период.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Воронкова Владимира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