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Смирновой Людмилы Александровны на нарушение ее конституционных прав пунктами 1 и 2 статьи 1064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Л.А.Смирновой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Л.А.Смирнова, с которой решением суда общей юрисдикции, оставленным без изменения судами вышестоящих инстанций, взысканы денежные средства в счет возмещения ущерба, причиненного заливом квартиры, оспаривает конституционность пунктов 1 и 2 статьи 1064 «Общие основания ответственности за причинение вреда» ГК Российской Федерации. По мнению заявительницы, оспариваемые нормы противоречат статьям 2, 17 (часть 1), 19 (часть 1), 45 (часть 1) и 46 (часть 1) Конституции Российской Федерации в той мере, в какой они по смыслу, придаваемому правоприменительной практикой, допускают возможность произвольного 2 возложения на гражданина, не являющегося ответственным за залив квартиры, обязанности возместить причиненный потерпевшему лицу ущерб. Кроме того, Л.А.Смирнова ставит иные вопросы, не связанные с проверкой конституционности нормативных правовых актов.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Смирновой Людмилы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