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Такиуллина Рашида Гиндулловича на нарушение его конституционных прав положениями статьи 150 Гражданского кодекса Российской Федерации во взаимосвязи с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Р.Г.Такиуллина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Р.Г.Такиуллин оспаривает конституционность положений статьи 150 «Нематериальные блага» ГК Российской Федерации во взаимосвязи с частью второй статьи 61 «Основания для освобождения от доказывания» ГПК Российской Федерации. Решением суда общей юрисдикции, оставленным без изменения судами вышестоящих инстанций, отказано в удовлетворении иска Р.Г.Такиуллина к государственному органу, в котором он ранее проходил государственную гражданскую службу, об опровержении сведений, 2 содержащихся в приказе об отмене результатов служебной проверки и о проведении дополнительной проверки, а также о возложении на ответчика обязанности письменно опровергнуть их. При этом суды исходили из того, что соответствие оспариваемых сведений действительности установлено вступившими в законную силу судебными постановлениями по спору о законности увольнения Р.Г.Такиуллина, имеющими преюдициальное значение для рассматриваемого дела.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оспариваемые нормы противоречат Конституции Российской Федерации, в том числе ее статьям 21 (часть 1) и 23, поскольку они позволяют судам произвольно отказывать в защите принадлежащих гражданину нематериальных благ.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Такиуллина Рашида Гиндулловича,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