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Дудина Виталия Михайловича на нарушение его конституционных прав пунктом 3 статьи 4 Закона Самарской области «О транспортном налоге на территории Самарской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В.М.Дудина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В.М.Дудин оспаривает конституционность пункта 3 статьи 4 Закона Самарской области от 6 ноября 2002 года № 86-ГД «О транспортном налоге на территории Самарской области», устанавливающего условия предоставления льготы по транспортному налогу, в том числе в зависимости от категории транспортного средства. Как следует из представленных материалов, вступившими в законную силу судебными актами судов общей юрисдикции с заявителя, являющегося собственником гидроцикла, взыскана недоимка по транспортному налогу. При этом суды пришли к выводу, что гидроциклы не относятся к категориям 2 транспортных средств, в отношении которых налогоплательщикам, являющимся пенсионерами, предоставляется льгота по транспортному налогу. По мнению заявителя, оспариваемое законоположение противоречит статье 57 Конституции Российской Федерации, поскольку произвольно лишает налогоплательщика-пенсионера льготы в отношении гидроциклов.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ранее принятых и сохраняющих свою силу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Дудина Виталия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