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2693-О/2023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Технюка Владислава Васильевича на нарушение его конституционных прав частью третьей статьи 99 и частью третьей статьи 101 Уголовно- исполнительного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В.В.Технюка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В.В.Технюк, отбывающий наказание в виде пожизненного лишения свободы, просит признать не соответствующими статьям 2, 18, 21 (часть 1) и 46 (часть 1) Конституции Российской Федерации часть третью статьи 99 «Материально-бытовое обеспечение осужденных к лишению свободы» и часть третью статьи 101 «Медико-санитарное обеспечение осужденных к лишению свободы» УИК Российской Федерации, поскольку они, по утверждению заявителя, не предусматривают еженедельной стирки в горячей воде, а также ополаскивания, отжима, 2 просушивания, санитарной обработки вещей осужденного за пределами запираемой камеры в банно-прачечном комбинате.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третья статьи 99 УИК Российской Федерации закрепляет, что минимальные нормы питания и материально-бытового обеспечения осужденных устанавливаются Правительством Российской Федерации; за счет средств предприятий, привлекающих к труду осужденных, им может быть организовано дополнительное питание сверх установленных норм; нормы вещевого довольствия осужденных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наказаний; осужденные, не работающие по не зависящим от них причинам, осужденные, не получающие пенсии, обеспечиваются питанием и предметами первой необходимости за счет государства. Тем самым данной нормой законодатель делегирует Правительству Российской Федерации право устанавливать минимальные нормы питания и материально-бытового обеспечения, а федеральному органу исполнительной власти, осуществляющему функции по выработке и реализации государственной политики и нормативно-правовому регулированию в сфере исполнения уголовных наказаний, – право утверждать нормы вещевого довольствия и не определяет содержания соответствующих нормативных актов. Что же касается части третьей статьи 101 данного Кодекса о том, что администрация исправительных учреждений несет ответственность за выполнение установленных санитарно-гигиенических и противоэпидемических требований, обеспечивающих охрану здоровья осужденных, то она носит гарантийный характер и направлена на защиту прав осужденных. 3 Соответственно, оспариваемые нормы не могут расцениваться как нарушающие конституционные права заявителя в указанном им аспекте, ввиду чего его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Технюка Владислава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