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«Позитив Авто» на нарушение его конституционных прав статьей 393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«Позитив Авто»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«Позитив Авто» оспаривает конституционность статьи 393 Трудового кодекса Российской Федерации, согласно которой 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расходов. По мнению заявителя, данная норма не соответствует статьям 17 (часть 3), 19 (часть 1), 45 (часть 1), 46 (часть 1), 55 (части 2 и 3), 56 (часть 3), 751, 76 2 (часть 3) и 123 (часть 3) Конституции Российской Федерации, поскольку в системе действующего правового регулирования по смыслу, придаваемому правоприменительной практикой, ставит работодателя по сравнению с работником в заведомо неравное положение, не позволяя взыскать судебные расходы в случае подачи работником безосновательного иска при отсутствии доказательств нарушения его трудовых прав. Оспариваемая норма применена в деле заявителя судом общей юрисдикции.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«Позитив Авто»,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