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Марьясова Владимира Викторовича на нарушение его конституционных прав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В.В.Марьясова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судами апелляционной и кассационной инстанций, гражданину В.В.Марьясову отказано в удовлетворении заявления о пересмотре вынесенного по его делу решения суда по вновь открывшимся обстоятельствам. В качестве таких обстоятельств он указывал проведенную в рамках возбужденного по его заявлению уголовного дела почерковедческую экспертизу, согласно выводам которой ряд представленных в гражданское дело письменных доказательств были подписаны не заявителем, а иным лицом. Определением судьи Верховного Суда Российской Федерации отказано в передаче кассационной жалобы В.В.Марьясова для рассмотрения в судебном заседании Судебной коллегии по гражданским делам Верховного Суда Российской Федерации. 2 В связи с этим заявитель полагает, что пункт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препятствующий ему в пересмотре вступившего в законную силу решения суда по вновь открывшимся обстоятельствам, не соответствует статьям 46 (часть 1), 47 (часть 1), 55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Марьясова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