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Гуйо Андрея Карловича на нарушение его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А.К.Гуйо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А.К.Гуйо, с которого решением мирового судьи взыскана задолженность по оплате потребленного природного газа,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части первой Гражданского кодекса Российской Федерации, Жилищного кодекса Российской Федерации, Федерального закона от 30 ноября 1994 года № 52-ФЗ «О введении в действие части первой Гражданского кодекса Российской 2 Федерации» и Федерального закона от 29 декабря 2004 года № 189-ФЗ «О введении в действие Жилищного кодекса Российской Федерации». По мнению заявителя,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заявитель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Гуйо Андрея Карловича,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